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7C3" w:rsidRDefault="00B03BCC" w:rsidP="000236E2">
      <w:pPr>
        <w:spacing w:after="0" w:line="480" w:lineRule="auto"/>
        <w:jc w:val="center"/>
        <w:rPr>
          <w:rFonts w:ascii="Times New Roman" w:hAnsi="Times New Roman" w:cs="Times New Roman"/>
          <w:sz w:val="24"/>
          <w:szCs w:val="24"/>
        </w:rPr>
      </w:pPr>
      <w:r w:rsidRPr="009F37C3">
        <w:rPr>
          <w:rFonts w:ascii="Times New Roman" w:hAnsi="Times New Roman" w:cs="Times New Roman"/>
          <w:sz w:val="24"/>
          <w:szCs w:val="24"/>
        </w:rPr>
        <w:t>Assessment and Treatment Plan</w:t>
      </w:r>
    </w:p>
    <w:p w:rsidR="00B368C9" w:rsidRPr="00B368C9" w:rsidRDefault="00B368C9" w:rsidP="007D50D9">
      <w:pPr>
        <w:spacing w:after="0" w:line="480" w:lineRule="auto"/>
        <w:ind w:firstLine="851"/>
        <w:jc w:val="center"/>
        <w:rPr>
          <w:rFonts w:ascii="Times New Roman" w:hAnsi="Times New Roman" w:cs="Times New Roman"/>
          <w:b/>
          <w:bCs/>
          <w:sz w:val="24"/>
          <w:szCs w:val="24"/>
        </w:rPr>
      </w:pPr>
      <w:r w:rsidRPr="00B368C9">
        <w:rPr>
          <w:rFonts w:ascii="Times New Roman" w:hAnsi="Times New Roman" w:cs="Times New Roman"/>
          <w:b/>
          <w:bCs/>
          <w:sz w:val="24"/>
          <w:szCs w:val="24"/>
        </w:rPr>
        <w:t>Assessment</w:t>
      </w:r>
    </w:p>
    <w:p w:rsidR="00E81072" w:rsidRPr="009F37C3" w:rsidRDefault="00B03BCC" w:rsidP="007D50D9">
      <w:pPr>
        <w:spacing w:after="0" w:line="480" w:lineRule="auto"/>
        <w:ind w:firstLine="851"/>
        <w:rPr>
          <w:rFonts w:ascii="Times New Roman" w:hAnsi="Times New Roman" w:cs="Times New Roman"/>
          <w:sz w:val="24"/>
          <w:szCs w:val="24"/>
        </w:rPr>
      </w:pPr>
      <w:r w:rsidRPr="009F37C3">
        <w:rPr>
          <w:rFonts w:ascii="Times New Roman" w:hAnsi="Times New Roman" w:cs="Times New Roman"/>
          <w:sz w:val="24"/>
          <w:szCs w:val="24"/>
        </w:rPr>
        <w:t xml:space="preserve">Burning sensation during urination (dysuria), is a clinical manifestation caused by various infections, including </w:t>
      </w:r>
      <w:r w:rsidR="003F43EA" w:rsidRPr="009F37C3">
        <w:rPr>
          <w:rFonts w:ascii="Times New Roman" w:hAnsi="Times New Roman" w:cs="Times New Roman"/>
          <w:sz w:val="24"/>
          <w:szCs w:val="24"/>
        </w:rPr>
        <w:t>sexually</w:t>
      </w:r>
      <w:r w:rsidRPr="009F37C3">
        <w:rPr>
          <w:rFonts w:ascii="Times New Roman" w:hAnsi="Times New Roman" w:cs="Times New Roman"/>
          <w:sz w:val="24"/>
          <w:szCs w:val="24"/>
        </w:rPr>
        <w:t xml:space="preserve"> transmitted infections and urinary tract infection. For a patient who is sexually active with multiple partners, there is a high probability of being infected with sexually transmitted infection</w:t>
      </w:r>
      <w:r w:rsidR="009F37C3" w:rsidRPr="009F37C3">
        <w:rPr>
          <w:rFonts w:ascii="Times New Roman" w:hAnsi="Times New Roman" w:cs="Times New Roman"/>
          <w:sz w:val="24"/>
          <w:szCs w:val="24"/>
        </w:rPr>
        <w:t xml:space="preserve"> (</w:t>
      </w:r>
      <w:r w:rsidR="009F37C3" w:rsidRPr="009F37C3">
        <w:rPr>
          <w:rFonts w:ascii="Times New Roman" w:hAnsi="Times New Roman" w:cs="Times New Roman"/>
          <w:color w:val="000000"/>
          <w:sz w:val="24"/>
          <w:szCs w:val="24"/>
          <w:shd w:val="clear" w:color="auto" w:fill="FFFFFF"/>
        </w:rPr>
        <w:t>Wilbanks, Galbraith &amp; Geisler, 2014)</w:t>
      </w:r>
      <w:r w:rsidRPr="009F37C3">
        <w:rPr>
          <w:rFonts w:ascii="Times New Roman" w:hAnsi="Times New Roman" w:cs="Times New Roman"/>
          <w:sz w:val="24"/>
          <w:szCs w:val="24"/>
        </w:rPr>
        <w:t>. Therefore, there is a need for adequate assessment to ensure that a working diagnosis s established and treatment is commenced early. For the case presented, the assessment includes history, physical examination and diagnostic tests.</w:t>
      </w:r>
    </w:p>
    <w:p w:rsidR="00595596" w:rsidRPr="009F37C3" w:rsidRDefault="00B03BCC" w:rsidP="007D50D9">
      <w:pPr>
        <w:spacing w:after="0" w:line="480" w:lineRule="auto"/>
        <w:ind w:firstLine="851"/>
        <w:rPr>
          <w:rFonts w:ascii="Times New Roman" w:hAnsi="Times New Roman" w:cs="Times New Roman"/>
          <w:sz w:val="24"/>
          <w:szCs w:val="24"/>
        </w:rPr>
      </w:pPr>
      <w:r w:rsidRPr="009F37C3">
        <w:rPr>
          <w:rFonts w:ascii="Times New Roman" w:hAnsi="Times New Roman" w:cs="Times New Roman"/>
          <w:sz w:val="24"/>
          <w:szCs w:val="24"/>
        </w:rPr>
        <w:t>The questions that will be asked in history include:</w:t>
      </w:r>
    </w:p>
    <w:p w:rsidR="00595596" w:rsidRPr="009F37C3" w:rsidRDefault="00B03BCC" w:rsidP="007D50D9">
      <w:pPr>
        <w:pStyle w:val="ListParagraph"/>
        <w:numPr>
          <w:ilvl w:val="0"/>
          <w:numId w:val="1"/>
        </w:numPr>
        <w:spacing w:after="0" w:line="480" w:lineRule="auto"/>
        <w:ind w:firstLine="0"/>
        <w:rPr>
          <w:rFonts w:ascii="Times New Roman" w:hAnsi="Times New Roman" w:cs="Times New Roman"/>
          <w:sz w:val="24"/>
          <w:szCs w:val="24"/>
        </w:rPr>
      </w:pPr>
      <w:r w:rsidRPr="009F37C3">
        <w:rPr>
          <w:rFonts w:ascii="Times New Roman" w:hAnsi="Times New Roman" w:cs="Times New Roman"/>
          <w:sz w:val="24"/>
          <w:szCs w:val="24"/>
        </w:rPr>
        <w:t xml:space="preserve">Chief complaint- the question in this step explores the presenting symptom of the patient. Various questions are asked by the health care provider to represent all the possible complains from the patient. The questions </w:t>
      </w:r>
      <w:r w:rsidR="004C5862" w:rsidRPr="009F37C3">
        <w:rPr>
          <w:rFonts w:ascii="Times New Roman" w:hAnsi="Times New Roman" w:cs="Times New Roman"/>
          <w:sz w:val="24"/>
          <w:szCs w:val="24"/>
        </w:rPr>
        <w:t>include</w:t>
      </w:r>
      <w:r w:rsidRPr="009F37C3">
        <w:rPr>
          <w:rFonts w:ascii="Times New Roman" w:hAnsi="Times New Roman" w:cs="Times New Roman"/>
          <w:sz w:val="24"/>
          <w:szCs w:val="24"/>
        </w:rPr>
        <w:t xml:space="preserve"> asking about the presence of testicular pain, soreness of the skin, skin lesions, </w:t>
      </w:r>
      <w:r w:rsidR="004C5862" w:rsidRPr="009F37C3">
        <w:rPr>
          <w:rFonts w:ascii="Times New Roman" w:hAnsi="Times New Roman" w:cs="Times New Roman"/>
          <w:sz w:val="24"/>
          <w:szCs w:val="24"/>
        </w:rPr>
        <w:t>urethral discharge, and dysuria</w:t>
      </w:r>
      <w:r w:rsidR="009F37C3" w:rsidRPr="009F37C3">
        <w:rPr>
          <w:rFonts w:ascii="Times New Roman" w:hAnsi="Times New Roman" w:cs="Times New Roman"/>
          <w:sz w:val="24"/>
          <w:szCs w:val="24"/>
        </w:rPr>
        <w:t xml:space="preserve"> (</w:t>
      </w:r>
      <w:r w:rsidR="009F37C3" w:rsidRPr="009F37C3">
        <w:rPr>
          <w:rFonts w:ascii="Times New Roman" w:hAnsi="Times New Roman" w:cs="Times New Roman"/>
          <w:color w:val="000000"/>
          <w:sz w:val="24"/>
          <w:szCs w:val="24"/>
          <w:shd w:val="clear" w:color="auto" w:fill="FFFFFF"/>
        </w:rPr>
        <w:t>Wilbanks, Galbraith &amp; Geisler, 2014)</w:t>
      </w:r>
      <w:r w:rsidR="004C5862" w:rsidRPr="009F37C3">
        <w:rPr>
          <w:rFonts w:ascii="Times New Roman" w:hAnsi="Times New Roman" w:cs="Times New Roman"/>
          <w:sz w:val="24"/>
          <w:szCs w:val="24"/>
        </w:rPr>
        <w:t xml:space="preserve">. The presence of systemic clinical features such as swelling of the joints, rash, </w:t>
      </w:r>
      <w:r w:rsidR="007B71C4" w:rsidRPr="009F37C3">
        <w:rPr>
          <w:rFonts w:ascii="Times New Roman" w:hAnsi="Times New Roman" w:cs="Times New Roman"/>
          <w:sz w:val="24"/>
          <w:szCs w:val="24"/>
        </w:rPr>
        <w:t>and loss</w:t>
      </w:r>
      <w:r w:rsidR="004C5862" w:rsidRPr="009F37C3">
        <w:rPr>
          <w:rFonts w:ascii="Times New Roman" w:hAnsi="Times New Roman" w:cs="Times New Roman"/>
          <w:sz w:val="24"/>
          <w:szCs w:val="24"/>
        </w:rPr>
        <w:t xml:space="preserve"> of weight, malaise and fever should be established.</w:t>
      </w:r>
    </w:p>
    <w:p w:rsidR="004C5862" w:rsidRPr="009F37C3" w:rsidRDefault="00B03BCC" w:rsidP="007D50D9">
      <w:pPr>
        <w:pStyle w:val="ListParagraph"/>
        <w:numPr>
          <w:ilvl w:val="0"/>
          <w:numId w:val="1"/>
        </w:numPr>
        <w:spacing w:after="0" w:line="480" w:lineRule="auto"/>
        <w:ind w:firstLine="0"/>
        <w:rPr>
          <w:rFonts w:ascii="Times New Roman" w:hAnsi="Times New Roman" w:cs="Times New Roman"/>
          <w:sz w:val="24"/>
          <w:szCs w:val="24"/>
        </w:rPr>
      </w:pPr>
      <w:r w:rsidRPr="009F37C3">
        <w:rPr>
          <w:rFonts w:ascii="Times New Roman" w:hAnsi="Times New Roman" w:cs="Times New Roman"/>
          <w:sz w:val="24"/>
          <w:szCs w:val="24"/>
        </w:rPr>
        <w:t>Last Sexual Contact- Before asking the questions in this stage, the health care worker should ensure that she performs sign-posting. Sign-posting is preparing the patient for the nature of the questions that will be asked in the assessment. The questions in this step would include the time of the last sexual contact if the sexual contact had consent, the relationship of the sexual partner involved, the residence of the partner and the type of sex involved</w:t>
      </w:r>
      <w:r w:rsidR="009F37C3" w:rsidRPr="009F37C3">
        <w:rPr>
          <w:rFonts w:ascii="Times New Roman" w:hAnsi="Times New Roman" w:cs="Times New Roman"/>
          <w:sz w:val="24"/>
          <w:szCs w:val="24"/>
        </w:rPr>
        <w:t xml:space="preserve"> (</w:t>
      </w:r>
      <w:r w:rsidR="009F37C3" w:rsidRPr="009F37C3">
        <w:rPr>
          <w:rFonts w:ascii="Times New Roman" w:hAnsi="Times New Roman" w:cs="Times New Roman"/>
          <w:color w:val="000000"/>
          <w:sz w:val="24"/>
          <w:szCs w:val="24"/>
          <w:shd w:val="clear" w:color="auto" w:fill="FFFFFF"/>
        </w:rPr>
        <w:t>Wilbanks, Galbraith &amp; Geisler, 2014)</w:t>
      </w:r>
      <w:r w:rsidRPr="009F37C3">
        <w:rPr>
          <w:rFonts w:ascii="Times New Roman" w:hAnsi="Times New Roman" w:cs="Times New Roman"/>
          <w:sz w:val="24"/>
          <w:szCs w:val="24"/>
        </w:rPr>
        <w:t xml:space="preserve">. The use of contraceptives and barriers during intercourse is established. The health care </w:t>
      </w:r>
      <w:r w:rsidRPr="009F37C3">
        <w:rPr>
          <w:rFonts w:ascii="Times New Roman" w:hAnsi="Times New Roman" w:cs="Times New Roman"/>
          <w:sz w:val="24"/>
          <w:szCs w:val="24"/>
        </w:rPr>
        <w:lastRenderedPageBreak/>
        <w:t>provider should also ask about the involvement of other sexual partners in the last three months.</w:t>
      </w:r>
    </w:p>
    <w:p w:rsidR="004C5862" w:rsidRPr="009F37C3" w:rsidRDefault="00B03BCC" w:rsidP="007D50D9">
      <w:pPr>
        <w:pStyle w:val="ListParagraph"/>
        <w:numPr>
          <w:ilvl w:val="0"/>
          <w:numId w:val="1"/>
        </w:numPr>
        <w:spacing w:after="0" w:line="480" w:lineRule="auto"/>
        <w:ind w:firstLine="0"/>
        <w:rPr>
          <w:rFonts w:ascii="Times New Roman" w:hAnsi="Times New Roman" w:cs="Times New Roman"/>
          <w:sz w:val="24"/>
          <w:szCs w:val="24"/>
        </w:rPr>
      </w:pPr>
      <w:r w:rsidRPr="009F37C3">
        <w:rPr>
          <w:rFonts w:ascii="Times New Roman" w:hAnsi="Times New Roman" w:cs="Times New Roman"/>
          <w:sz w:val="24"/>
          <w:szCs w:val="24"/>
        </w:rPr>
        <w:t>HIV risk evaluation- the questions includes having a partner who is a known reactive person, involvement in homosexual activity, the involvement of sex abroad, use of drugs, and involvement in casual sex.</w:t>
      </w:r>
    </w:p>
    <w:p w:rsidR="004C5862" w:rsidRPr="009F37C3" w:rsidRDefault="00B03BCC" w:rsidP="007D50D9">
      <w:pPr>
        <w:pStyle w:val="ListParagraph"/>
        <w:numPr>
          <w:ilvl w:val="0"/>
          <w:numId w:val="1"/>
        </w:numPr>
        <w:spacing w:after="0" w:line="480" w:lineRule="auto"/>
        <w:ind w:firstLine="0"/>
        <w:rPr>
          <w:rFonts w:ascii="Times New Roman" w:hAnsi="Times New Roman" w:cs="Times New Roman"/>
          <w:sz w:val="24"/>
          <w:szCs w:val="24"/>
        </w:rPr>
      </w:pPr>
      <w:r w:rsidRPr="009F37C3">
        <w:rPr>
          <w:rFonts w:ascii="Times New Roman" w:hAnsi="Times New Roman" w:cs="Times New Roman"/>
          <w:sz w:val="24"/>
          <w:szCs w:val="24"/>
        </w:rPr>
        <w:t>Past medical and surgical history- the patient should be asked about past medical conditions, the presence of any treatments, past diagnosis of sexually transmitted infections, allergies and surgical procedures.</w:t>
      </w:r>
    </w:p>
    <w:p w:rsidR="004C5862" w:rsidRPr="009F37C3" w:rsidRDefault="00B03BCC" w:rsidP="007D50D9">
      <w:pPr>
        <w:pStyle w:val="ListParagraph"/>
        <w:numPr>
          <w:ilvl w:val="0"/>
          <w:numId w:val="1"/>
        </w:numPr>
        <w:spacing w:after="0" w:line="480" w:lineRule="auto"/>
        <w:ind w:firstLine="0"/>
        <w:rPr>
          <w:rFonts w:ascii="Times New Roman" w:hAnsi="Times New Roman" w:cs="Times New Roman"/>
          <w:sz w:val="24"/>
          <w:szCs w:val="24"/>
        </w:rPr>
      </w:pPr>
      <w:r w:rsidRPr="009F37C3">
        <w:rPr>
          <w:rFonts w:ascii="Times New Roman" w:hAnsi="Times New Roman" w:cs="Times New Roman"/>
          <w:sz w:val="24"/>
          <w:szCs w:val="24"/>
        </w:rPr>
        <w:t>Drug history- the patient should be asked if he is on any OTC or prescribed medications.</w:t>
      </w:r>
    </w:p>
    <w:p w:rsidR="004C5862" w:rsidRPr="009F37C3" w:rsidRDefault="00B03BCC" w:rsidP="007D50D9">
      <w:pPr>
        <w:pStyle w:val="ListParagraph"/>
        <w:numPr>
          <w:ilvl w:val="0"/>
          <w:numId w:val="1"/>
        </w:numPr>
        <w:spacing w:after="0" w:line="480" w:lineRule="auto"/>
        <w:ind w:firstLine="0"/>
        <w:rPr>
          <w:rFonts w:ascii="Times New Roman" w:hAnsi="Times New Roman" w:cs="Times New Roman"/>
          <w:sz w:val="24"/>
          <w:szCs w:val="24"/>
        </w:rPr>
      </w:pPr>
      <w:r w:rsidRPr="009F37C3">
        <w:rPr>
          <w:rFonts w:ascii="Times New Roman" w:hAnsi="Times New Roman" w:cs="Times New Roman"/>
          <w:sz w:val="24"/>
          <w:szCs w:val="24"/>
        </w:rPr>
        <w:t xml:space="preserve">Social history- includes </w:t>
      </w:r>
      <w:r w:rsidR="00415347" w:rsidRPr="009F37C3">
        <w:rPr>
          <w:rFonts w:ascii="Times New Roman" w:hAnsi="Times New Roman" w:cs="Times New Roman"/>
          <w:sz w:val="24"/>
          <w:szCs w:val="24"/>
        </w:rPr>
        <w:t>support network, sexuality status, history of smoking or drinking, recreational use of drugs, diet, and occupation.</w:t>
      </w:r>
    </w:p>
    <w:p w:rsidR="00415347" w:rsidRPr="009F37C3" w:rsidRDefault="00B03BCC" w:rsidP="007D50D9">
      <w:pPr>
        <w:spacing w:after="0" w:line="480" w:lineRule="auto"/>
        <w:ind w:firstLine="851"/>
        <w:rPr>
          <w:rFonts w:ascii="Times New Roman" w:hAnsi="Times New Roman" w:cs="Times New Roman"/>
          <w:sz w:val="24"/>
          <w:szCs w:val="24"/>
        </w:rPr>
      </w:pPr>
      <w:r w:rsidRPr="009F37C3">
        <w:rPr>
          <w:rFonts w:ascii="Times New Roman" w:hAnsi="Times New Roman" w:cs="Times New Roman"/>
          <w:sz w:val="24"/>
          <w:szCs w:val="24"/>
        </w:rPr>
        <w:t>Physical examination for the patient who presents with dysuria will involve the evaluation of the genitalia primarily. The elements of the examination include inspection for the presence of rashes, ulcers on the genitalia, discharge and the odour of the discharge</w:t>
      </w:r>
      <w:r w:rsidR="009F37C3" w:rsidRPr="009F37C3">
        <w:rPr>
          <w:rFonts w:ascii="Times New Roman" w:hAnsi="Times New Roman" w:cs="Times New Roman"/>
          <w:sz w:val="24"/>
          <w:szCs w:val="24"/>
        </w:rPr>
        <w:t xml:space="preserve"> (</w:t>
      </w:r>
      <w:r w:rsidR="009F37C3" w:rsidRPr="009F37C3">
        <w:rPr>
          <w:rFonts w:ascii="Times New Roman" w:hAnsi="Times New Roman" w:cs="Times New Roman"/>
          <w:color w:val="000000"/>
          <w:sz w:val="24"/>
          <w:szCs w:val="24"/>
          <w:shd w:val="clear" w:color="auto" w:fill="FFFFFF"/>
        </w:rPr>
        <w:t>Wilbanks, Galbraith &amp; Geisler, 2014)</w:t>
      </w:r>
      <w:r w:rsidRPr="009F37C3">
        <w:rPr>
          <w:rFonts w:ascii="Times New Roman" w:hAnsi="Times New Roman" w:cs="Times New Roman"/>
          <w:sz w:val="24"/>
          <w:szCs w:val="24"/>
        </w:rPr>
        <w:t xml:space="preserve">. The rashes will be inspected in the oral mucosa, palms, forearms, trunk and face. The penis will be inspected on the </w:t>
      </w:r>
      <w:r w:rsidR="00EC77AA" w:rsidRPr="009F37C3">
        <w:rPr>
          <w:rFonts w:ascii="Times New Roman" w:hAnsi="Times New Roman" w:cs="Times New Roman"/>
          <w:sz w:val="24"/>
          <w:szCs w:val="24"/>
        </w:rPr>
        <w:t>retracted foreskin, meatus, and the perianal area. The scrotum will be palpated to assess the expression of any discharge from the meatus. The inguinal nodes will be palpated for any swellings.</w:t>
      </w:r>
    </w:p>
    <w:p w:rsidR="00EC77AA" w:rsidRPr="009F37C3" w:rsidRDefault="00B03BCC" w:rsidP="007D50D9">
      <w:pPr>
        <w:spacing w:after="0" w:line="480" w:lineRule="auto"/>
        <w:ind w:firstLine="851"/>
        <w:rPr>
          <w:rFonts w:ascii="Times New Roman" w:hAnsi="Times New Roman" w:cs="Times New Roman"/>
          <w:sz w:val="24"/>
          <w:szCs w:val="24"/>
        </w:rPr>
      </w:pPr>
      <w:r w:rsidRPr="009F37C3">
        <w:rPr>
          <w:rFonts w:ascii="Times New Roman" w:hAnsi="Times New Roman" w:cs="Times New Roman"/>
          <w:sz w:val="24"/>
          <w:szCs w:val="24"/>
        </w:rPr>
        <w:t xml:space="preserve">The pertinent positive objective data includes the watery discharge from the urethra and swelling of the testicles. The pertinent negative objective data include rash and swelling of joints. Pertinent positive data include dysuria. The pertinent negative subjective data includes malaise and fever. The possible diagnosis for the presence of the clinical manifestations includes sexually transmitted infections, urethritis, urinary tract infection and cystitis. The working diagnosis for the case is </w:t>
      </w:r>
      <w:r w:rsidR="007B71C4" w:rsidRPr="009F37C3">
        <w:rPr>
          <w:rFonts w:ascii="Times New Roman" w:hAnsi="Times New Roman" w:cs="Times New Roman"/>
          <w:sz w:val="24"/>
          <w:szCs w:val="24"/>
        </w:rPr>
        <w:t>Chlamydia</w:t>
      </w:r>
      <w:r w:rsidRPr="009F37C3">
        <w:rPr>
          <w:rFonts w:ascii="Times New Roman" w:hAnsi="Times New Roman" w:cs="Times New Roman"/>
          <w:sz w:val="24"/>
          <w:szCs w:val="24"/>
        </w:rPr>
        <w:t>.</w:t>
      </w:r>
    </w:p>
    <w:p w:rsidR="007D50D9" w:rsidRDefault="007D50D9" w:rsidP="007D50D9">
      <w:pPr>
        <w:spacing w:after="0" w:line="480" w:lineRule="auto"/>
        <w:ind w:firstLine="851"/>
        <w:rPr>
          <w:rFonts w:ascii="Times New Roman" w:hAnsi="Times New Roman" w:cs="Times New Roman"/>
          <w:b/>
          <w:bCs/>
          <w:sz w:val="24"/>
          <w:szCs w:val="24"/>
        </w:rPr>
      </w:pPr>
    </w:p>
    <w:p w:rsidR="007D50D9" w:rsidRDefault="007D50D9" w:rsidP="007D50D9">
      <w:pPr>
        <w:spacing w:after="0" w:line="480" w:lineRule="auto"/>
        <w:ind w:firstLine="851"/>
        <w:rPr>
          <w:rFonts w:ascii="Times New Roman" w:hAnsi="Times New Roman" w:cs="Times New Roman"/>
          <w:b/>
          <w:bCs/>
          <w:sz w:val="24"/>
          <w:szCs w:val="24"/>
        </w:rPr>
      </w:pPr>
    </w:p>
    <w:p w:rsidR="00EC77AA" w:rsidRPr="009F37C3" w:rsidRDefault="00B03BCC" w:rsidP="007D50D9">
      <w:pPr>
        <w:spacing w:after="0" w:line="480" w:lineRule="auto"/>
        <w:ind w:firstLine="851"/>
        <w:jc w:val="center"/>
        <w:rPr>
          <w:rFonts w:ascii="Times New Roman" w:hAnsi="Times New Roman" w:cs="Times New Roman"/>
          <w:b/>
          <w:bCs/>
          <w:sz w:val="24"/>
          <w:szCs w:val="24"/>
        </w:rPr>
      </w:pPr>
      <w:r w:rsidRPr="009F37C3">
        <w:rPr>
          <w:rFonts w:ascii="Times New Roman" w:hAnsi="Times New Roman" w:cs="Times New Roman"/>
          <w:b/>
          <w:bCs/>
          <w:sz w:val="24"/>
          <w:szCs w:val="24"/>
        </w:rPr>
        <w:t>Treatment Plan</w:t>
      </w:r>
    </w:p>
    <w:p w:rsidR="009F37C3" w:rsidRPr="009F37C3" w:rsidRDefault="00B03BCC" w:rsidP="007D50D9">
      <w:pPr>
        <w:spacing w:after="0" w:line="480" w:lineRule="auto"/>
        <w:ind w:firstLine="851"/>
        <w:rPr>
          <w:rFonts w:ascii="Times New Roman" w:hAnsi="Times New Roman" w:cs="Times New Roman"/>
          <w:sz w:val="24"/>
          <w:szCs w:val="24"/>
        </w:rPr>
      </w:pPr>
      <w:r w:rsidRPr="009F37C3">
        <w:rPr>
          <w:rFonts w:ascii="Times New Roman" w:hAnsi="Times New Roman" w:cs="Times New Roman"/>
          <w:sz w:val="24"/>
          <w:szCs w:val="24"/>
        </w:rPr>
        <w:t>The diagnostic test that will be carried out for the patient includes a urine test for chlamydia trachomatis. Also, a swab is obtained from the tip of the urethra to examine the discharge in the laboratory. If the patient is affected in the mouth, an oral swab can be taken for the test. The treatment of chlamydia is done through the prescription of antibiotics such as Azithromycin which is taken as a single dose or doxycycline which is administered twice every day for at least seven days (</w:t>
      </w:r>
      <w:r w:rsidRPr="009F37C3">
        <w:rPr>
          <w:rFonts w:ascii="Times New Roman" w:hAnsi="Times New Roman" w:cs="Times New Roman"/>
          <w:color w:val="303030"/>
          <w:sz w:val="24"/>
          <w:szCs w:val="24"/>
          <w:shd w:val="clear" w:color="auto" w:fill="FFFFFF"/>
        </w:rPr>
        <w:t>O'Connell &amp; Ferone, 2016)</w:t>
      </w:r>
      <w:r w:rsidRPr="009F37C3">
        <w:rPr>
          <w:rFonts w:ascii="Times New Roman" w:hAnsi="Times New Roman" w:cs="Times New Roman"/>
          <w:sz w:val="24"/>
          <w:szCs w:val="24"/>
        </w:rPr>
        <w:t>. More so, Azithromycin can be used by the patient over the counter when the disease is asymptomatic. The patient should be advised not to have any sexual contact during the treatment period. The patient should be encouraged to adhere to treatment to completion. Treatment of the partner involved is also essential to prevent further spreads of the disease. The patient should be encouraged to use protection (condom</w:t>
      </w:r>
      <w:r w:rsidR="007D50D9">
        <w:rPr>
          <w:rFonts w:ascii="Times New Roman" w:hAnsi="Times New Roman" w:cs="Times New Roman"/>
          <w:sz w:val="24"/>
          <w:szCs w:val="24"/>
        </w:rPr>
        <w:t>)</w:t>
      </w:r>
      <w:r w:rsidRPr="009F37C3">
        <w:rPr>
          <w:rFonts w:ascii="Times New Roman" w:hAnsi="Times New Roman" w:cs="Times New Roman"/>
          <w:sz w:val="24"/>
          <w:szCs w:val="24"/>
        </w:rPr>
        <w:t xml:space="preserve"> during sexual intercourse or abstain if possible. The test for the treatment efficiency is done after three weeks to assess the presence of therapeutic failure in the follow-up period.</w:t>
      </w: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7D50D9">
      <w:pPr>
        <w:spacing w:after="0" w:line="480" w:lineRule="auto"/>
        <w:ind w:firstLine="851"/>
        <w:rPr>
          <w:rFonts w:ascii="Times New Roman" w:hAnsi="Times New Roman" w:cs="Times New Roman"/>
          <w:sz w:val="24"/>
          <w:szCs w:val="24"/>
        </w:rPr>
      </w:pPr>
    </w:p>
    <w:p w:rsidR="007D50D9" w:rsidRDefault="007D50D9" w:rsidP="00F615A3">
      <w:pPr>
        <w:spacing w:after="0" w:line="480" w:lineRule="auto"/>
        <w:rPr>
          <w:rFonts w:ascii="Times New Roman" w:hAnsi="Times New Roman" w:cs="Times New Roman"/>
          <w:sz w:val="24"/>
          <w:szCs w:val="24"/>
        </w:rPr>
      </w:pPr>
    </w:p>
    <w:p w:rsidR="007D50D9" w:rsidRPr="007D50D9" w:rsidRDefault="00B03BCC" w:rsidP="007D50D9">
      <w:pPr>
        <w:spacing w:after="0" w:line="480" w:lineRule="auto"/>
        <w:ind w:firstLine="851"/>
        <w:jc w:val="center"/>
        <w:rPr>
          <w:rFonts w:ascii="Times New Roman" w:hAnsi="Times New Roman" w:cs="Times New Roman"/>
          <w:sz w:val="24"/>
          <w:szCs w:val="24"/>
        </w:rPr>
      </w:pPr>
      <w:r w:rsidRPr="009F37C3">
        <w:rPr>
          <w:rFonts w:ascii="Times New Roman" w:hAnsi="Times New Roman" w:cs="Times New Roman"/>
          <w:sz w:val="24"/>
          <w:szCs w:val="24"/>
        </w:rPr>
        <w:t>References</w:t>
      </w:r>
    </w:p>
    <w:p w:rsidR="007D50D9" w:rsidRPr="007D50D9" w:rsidRDefault="00B03BCC" w:rsidP="007D50D9">
      <w:pPr>
        <w:spacing w:after="0" w:line="480" w:lineRule="auto"/>
        <w:ind w:left="720" w:hanging="720"/>
        <w:rPr>
          <w:rFonts w:ascii="Times New Roman" w:hAnsi="Times New Roman" w:cs="Times New Roman"/>
          <w:color w:val="000000" w:themeColor="text1"/>
          <w:sz w:val="24"/>
          <w:szCs w:val="24"/>
          <w:shd w:val="clear" w:color="auto" w:fill="FFFFFF"/>
        </w:rPr>
      </w:pPr>
      <w:r w:rsidRPr="007D50D9">
        <w:rPr>
          <w:rFonts w:ascii="Times New Roman" w:hAnsi="Times New Roman" w:cs="Times New Roman"/>
          <w:color w:val="000000" w:themeColor="text1"/>
          <w:sz w:val="24"/>
          <w:szCs w:val="24"/>
          <w:shd w:val="clear" w:color="auto" w:fill="FFFFFF"/>
        </w:rPr>
        <w:t>O'Connell, C. M., &amp; Ferone, M. E. (2016). </w:t>
      </w:r>
      <w:r w:rsidRPr="007D50D9">
        <w:rPr>
          <w:rFonts w:ascii="Times New Roman" w:hAnsi="Times New Roman" w:cs="Times New Roman"/>
          <w:i/>
          <w:iCs/>
          <w:color w:val="000000" w:themeColor="text1"/>
          <w:sz w:val="24"/>
          <w:szCs w:val="24"/>
          <w:shd w:val="clear" w:color="auto" w:fill="FFFFFF"/>
        </w:rPr>
        <w:t>Chlamydia trachomatis</w:t>
      </w:r>
      <w:r w:rsidRPr="007D50D9">
        <w:rPr>
          <w:rFonts w:ascii="Times New Roman" w:hAnsi="Times New Roman" w:cs="Times New Roman"/>
          <w:color w:val="000000" w:themeColor="text1"/>
          <w:sz w:val="24"/>
          <w:szCs w:val="24"/>
          <w:shd w:val="clear" w:color="auto" w:fill="FFFFFF"/>
        </w:rPr>
        <w:t> Genital Infections. </w:t>
      </w:r>
      <w:r w:rsidRPr="007D50D9">
        <w:rPr>
          <w:rFonts w:ascii="Times New Roman" w:hAnsi="Times New Roman" w:cs="Times New Roman"/>
          <w:i/>
          <w:iCs/>
          <w:color w:val="000000" w:themeColor="text1"/>
          <w:sz w:val="24"/>
          <w:szCs w:val="24"/>
          <w:shd w:val="clear" w:color="auto" w:fill="FFFFFF"/>
        </w:rPr>
        <w:t>Microbial cell (Graz, Austria)</w:t>
      </w:r>
      <w:r w:rsidRPr="007D50D9">
        <w:rPr>
          <w:rFonts w:ascii="Times New Roman" w:hAnsi="Times New Roman" w:cs="Times New Roman"/>
          <w:color w:val="000000" w:themeColor="text1"/>
          <w:sz w:val="24"/>
          <w:szCs w:val="24"/>
          <w:shd w:val="clear" w:color="auto" w:fill="FFFFFF"/>
        </w:rPr>
        <w:t>, </w:t>
      </w:r>
      <w:r w:rsidRPr="007D50D9">
        <w:rPr>
          <w:rFonts w:ascii="Times New Roman" w:hAnsi="Times New Roman" w:cs="Times New Roman"/>
          <w:i/>
          <w:iCs/>
          <w:color w:val="000000" w:themeColor="text1"/>
          <w:sz w:val="24"/>
          <w:szCs w:val="24"/>
          <w:shd w:val="clear" w:color="auto" w:fill="FFFFFF"/>
        </w:rPr>
        <w:t>3</w:t>
      </w:r>
      <w:r w:rsidRPr="007D50D9">
        <w:rPr>
          <w:rFonts w:ascii="Times New Roman" w:hAnsi="Times New Roman" w:cs="Times New Roman"/>
          <w:color w:val="000000" w:themeColor="text1"/>
          <w:sz w:val="24"/>
          <w:szCs w:val="24"/>
          <w:shd w:val="clear" w:color="auto" w:fill="FFFFFF"/>
        </w:rPr>
        <w:t xml:space="preserve">(9), 390–403. </w:t>
      </w:r>
      <w:hyperlink r:id="rId8" w:history="1">
        <w:r w:rsidRPr="007D50D9">
          <w:rPr>
            <w:rStyle w:val="Hyperlink"/>
            <w:rFonts w:ascii="Times New Roman" w:hAnsi="Times New Roman" w:cs="Times New Roman"/>
            <w:color w:val="000000" w:themeColor="text1"/>
            <w:sz w:val="24"/>
            <w:szCs w:val="24"/>
            <w:u w:val="none"/>
            <w:shd w:val="clear" w:color="auto" w:fill="FFFFFF"/>
          </w:rPr>
          <w:t>https://doi.org/10.15698/mic2016.09.525</w:t>
        </w:r>
      </w:hyperlink>
    </w:p>
    <w:p w:rsidR="007D50D9" w:rsidRPr="007D50D9" w:rsidRDefault="00B03BCC" w:rsidP="007D50D9">
      <w:pPr>
        <w:spacing w:after="0" w:line="480" w:lineRule="auto"/>
        <w:ind w:left="720" w:hanging="720"/>
        <w:rPr>
          <w:rFonts w:ascii="Times New Roman" w:hAnsi="Times New Roman" w:cs="Times New Roman"/>
          <w:color w:val="000000" w:themeColor="text1"/>
          <w:sz w:val="24"/>
          <w:szCs w:val="24"/>
        </w:rPr>
      </w:pPr>
      <w:r w:rsidRPr="007D50D9">
        <w:rPr>
          <w:rFonts w:ascii="Times New Roman" w:hAnsi="Times New Roman" w:cs="Times New Roman"/>
          <w:color w:val="000000" w:themeColor="text1"/>
          <w:sz w:val="24"/>
          <w:szCs w:val="24"/>
          <w:shd w:val="clear" w:color="auto" w:fill="FFFFFF"/>
        </w:rPr>
        <w:t>Wilbanks, M., Galbraith, J., &amp; Geisler, W. (2014). Dysuria in the Emergency Department: Missed Diagnosis of Chlamydia trachomatis. </w:t>
      </w:r>
      <w:r w:rsidRPr="007D50D9">
        <w:rPr>
          <w:rFonts w:ascii="Times New Roman" w:hAnsi="Times New Roman" w:cs="Times New Roman"/>
          <w:i/>
          <w:iCs/>
          <w:color w:val="000000" w:themeColor="text1"/>
          <w:sz w:val="24"/>
          <w:szCs w:val="24"/>
          <w:shd w:val="clear" w:color="auto" w:fill="FFFFFF"/>
        </w:rPr>
        <w:t>Western Journal of Emergency Medicine</w:t>
      </w:r>
      <w:r w:rsidRPr="007D50D9">
        <w:rPr>
          <w:rFonts w:ascii="Times New Roman" w:hAnsi="Times New Roman" w:cs="Times New Roman"/>
          <w:color w:val="000000" w:themeColor="text1"/>
          <w:sz w:val="24"/>
          <w:szCs w:val="24"/>
          <w:shd w:val="clear" w:color="auto" w:fill="FFFFFF"/>
        </w:rPr>
        <w:t>, </w:t>
      </w:r>
      <w:r w:rsidRPr="007D50D9">
        <w:rPr>
          <w:rFonts w:ascii="Times New Roman" w:hAnsi="Times New Roman" w:cs="Times New Roman"/>
          <w:i/>
          <w:iCs/>
          <w:color w:val="000000" w:themeColor="text1"/>
          <w:sz w:val="24"/>
          <w:szCs w:val="24"/>
          <w:shd w:val="clear" w:color="auto" w:fill="FFFFFF"/>
        </w:rPr>
        <w:t>15</w:t>
      </w:r>
      <w:r w:rsidRPr="007D50D9">
        <w:rPr>
          <w:rFonts w:ascii="Times New Roman" w:hAnsi="Times New Roman" w:cs="Times New Roman"/>
          <w:color w:val="000000" w:themeColor="text1"/>
          <w:sz w:val="24"/>
          <w:szCs w:val="24"/>
          <w:shd w:val="clear" w:color="auto" w:fill="FFFFFF"/>
        </w:rPr>
        <w:t>(2), 227-230. DOI: 10.5811/westjem.2013.12.18989</w:t>
      </w:r>
    </w:p>
    <w:sectPr w:rsidR="007D50D9" w:rsidRPr="007D50D9" w:rsidSect="009F37C3">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5D0" w:rsidRDefault="00C805D0">
      <w:pPr>
        <w:spacing w:after="0" w:line="240" w:lineRule="auto"/>
      </w:pPr>
      <w:r>
        <w:separator/>
      </w:r>
    </w:p>
  </w:endnote>
  <w:endnote w:type="continuationSeparator" w:id="1">
    <w:p w:rsidR="00C805D0" w:rsidRDefault="00C805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5D0" w:rsidRDefault="00C805D0">
      <w:pPr>
        <w:spacing w:after="0" w:line="240" w:lineRule="auto"/>
      </w:pPr>
      <w:r>
        <w:separator/>
      </w:r>
    </w:p>
  </w:footnote>
  <w:footnote w:type="continuationSeparator" w:id="1">
    <w:p w:rsidR="00C805D0" w:rsidRDefault="00C805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C3" w:rsidRDefault="009F37C3" w:rsidP="009F37C3">
    <w:pPr>
      <w:pStyle w:val="Header"/>
    </w:pPr>
  </w:p>
  <w:p w:rsidR="009F37C3" w:rsidRDefault="009F37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82976"/>
    <w:multiLevelType w:val="hybridMultilevel"/>
    <w:tmpl w:val="BE3ECAD0"/>
    <w:lvl w:ilvl="0" w:tplc="01E88F52">
      <w:start w:val="1"/>
      <w:numFmt w:val="decimal"/>
      <w:lvlText w:val="%1."/>
      <w:lvlJc w:val="left"/>
      <w:pPr>
        <w:ind w:left="720" w:hanging="360"/>
      </w:pPr>
      <w:rPr>
        <w:rFonts w:hint="default"/>
      </w:rPr>
    </w:lvl>
    <w:lvl w:ilvl="1" w:tplc="9DD80898" w:tentative="1">
      <w:start w:val="1"/>
      <w:numFmt w:val="lowerLetter"/>
      <w:lvlText w:val="%2."/>
      <w:lvlJc w:val="left"/>
      <w:pPr>
        <w:ind w:left="1440" w:hanging="360"/>
      </w:pPr>
    </w:lvl>
    <w:lvl w:ilvl="2" w:tplc="1D28DFEA" w:tentative="1">
      <w:start w:val="1"/>
      <w:numFmt w:val="lowerRoman"/>
      <w:lvlText w:val="%3."/>
      <w:lvlJc w:val="right"/>
      <w:pPr>
        <w:ind w:left="2160" w:hanging="180"/>
      </w:pPr>
    </w:lvl>
    <w:lvl w:ilvl="3" w:tplc="AC28FC8E" w:tentative="1">
      <w:start w:val="1"/>
      <w:numFmt w:val="decimal"/>
      <w:lvlText w:val="%4."/>
      <w:lvlJc w:val="left"/>
      <w:pPr>
        <w:ind w:left="2880" w:hanging="360"/>
      </w:pPr>
    </w:lvl>
    <w:lvl w:ilvl="4" w:tplc="7FBA710E" w:tentative="1">
      <w:start w:val="1"/>
      <w:numFmt w:val="lowerLetter"/>
      <w:lvlText w:val="%5."/>
      <w:lvlJc w:val="left"/>
      <w:pPr>
        <w:ind w:left="3600" w:hanging="360"/>
      </w:pPr>
    </w:lvl>
    <w:lvl w:ilvl="5" w:tplc="A1C0C89C" w:tentative="1">
      <w:start w:val="1"/>
      <w:numFmt w:val="lowerRoman"/>
      <w:lvlText w:val="%6."/>
      <w:lvlJc w:val="right"/>
      <w:pPr>
        <w:ind w:left="4320" w:hanging="180"/>
      </w:pPr>
    </w:lvl>
    <w:lvl w:ilvl="6" w:tplc="BFC0C0AE" w:tentative="1">
      <w:start w:val="1"/>
      <w:numFmt w:val="decimal"/>
      <w:lvlText w:val="%7."/>
      <w:lvlJc w:val="left"/>
      <w:pPr>
        <w:ind w:left="5040" w:hanging="360"/>
      </w:pPr>
    </w:lvl>
    <w:lvl w:ilvl="7" w:tplc="4904B5B4" w:tentative="1">
      <w:start w:val="1"/>
      <w:numFmt w:val="lowerLetter"/>
      <w:lvlText w:val="%8."/>
      <w:lvlJc w:val="left"/>
      <w:pPr>
        <w:ind w:left="5760" w:hanging="360"/>
      </w:pPr>
    </w:lvl>
    <w:lvl w:ilvl="8" w:tplc="5332F93C" w:tentative="1">
      <w:start w:val="1"/>
      <w:numFmt w:val="lowerRoman"/>
      <w:lvlText w:val="%9."/>
      <w:lvlJc w:val="right"/>
      <w:pPr>
        <w:ind w:left="6480" w:hanging="180"/>
      </w:pPr>
    </w:lvl>
  </w:abstractNum>
  <w:abstractNum w:abstractNumId="1">
    <w:nsid w:val="3A102491"/>
    <w:multiLevelType w:val="hybridMultilevel"/>
    <w:tmpl w:val="1BD870B8"/>
    <w:lvl w:ilvl="0" w:tplc="7F984B1E">
      <w:start w:val="1"/>
      <w:numFmt w:val="decimal"/>
      <w:lvlText w:val="%1."/>
      <w:lvlJc w:val="left"/>
      <w:pPr>
        <w:ind w:left="720" w:hanging="360"/>
      </w:pPr>
      <w:rPr>
        <w:rFonts w:hint="default"/>
      </w:rPr>
    </w:lvl>
    <w:lvl w:ilvl="1" w:tplc="25F6B362" w:tentative="1">
      <w:start w:val="1"/>
      <w:numFmt w:val="lowerLetter"/>
      <w:lvlText w:val="%2."/>
      <w:lvlJc w:val="left"/>
      <w:pPr>
        <w:ind w:left="1440" w:hanging="360"/>
      </w:pPr>
    </w:lvl>
    <w:lvl w:ilvl="2" w:tplc="3E9686AE" w:tentative="1">
      <w:start w:val="1"/>
      <w:numFmt w:val="lowerRoman"/>
      <w:lvlText w:val="%3."/>
      <w:lvlJc w:val="right"/>
      <w:pPr>
        <w:ind w:left="2160" w:hanging="180"/>
      </w:pPr>
    </w:lvl>
    <w:lvl w:ilvl="3" w:tplc="2982DDB8" w:tentative="1">
      <w:start w:val="1"/>
      <w:numFmt w:val="decimal"/>
      <w:lvlText w:val="%4."/>
      <w:lvlJc w:val="left"/>
      <w:pPr>
        <w:ind w:left="2880" w:hanging="360"/>
      </w:pPr>
    </w:lvl>
    <w:lvl w:ilvl="4" w:tplc="70D62E28" w:tentative="1">
      <w:start w:val="1"/>
      <w:numFmt w:val="lowerLetter"/>
      <w:lvlText w:val="%5."/>
      <w:lvlJc w:val="left"/>
      <w:pPr>
        <w:ind w:left="3600" w:hanging="360"/>
      </w:pPr>
    </w:lvl>
    <w:lvl w:ilvl="5" w:tplc="33AE1188" w:tentative="1">
      <w:start w:val="1"/>
      <w:numFmt w:val="lowerRoman"/>
      <w:lvlText w:val="%6."/>
      <w:lvlJc w:val="right"/>
      <w:pPr>
        <w:ind w:left="4320" w:hanging="180"/>
      </w:pPr>
    </w:lvl>
    <w:lvl w:ilvl="6" w:tplc="FB50D6D8" w:tentative="1">
      <w:start w:val="1"/>
      <w:numFmt w:val="decimal"/>
      <w:lvlText w:val="%7."/>
      <w:lvlJc w:val="left"/>
      <w:pPr>
        <w:ind w:left="5040" w:hanging="360"/>
      </w:pPr>
    </w:lvl>
    <w:lvl w:ilvl="7" w:tplc="C618F838" w:tentative="1">
      <w:start w:val="1"/>
      <w:numFmt w:val="lowerLetter"/>
      <w:lvlText w:val="%8."/>
      <w:lvlJc w:val="left"/>
      <w:pPr>
        <w:ind w:left="5760" w:hanging="360"/>
      </w:pPr>
    </w:lvl>
    <w:lvl w:ilvl="8" w:tplc="FDF0969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595596"/>
    <w:rsid w:val="000236E2"/>
    <w:rsid w:val="003A31C8"/>
    <w:rsid w:val="003F43EA"/>
    <w:rsid w:val="00415347"/>
    <w:rsid w:val="004C5862"/>
    <w:rsid w:val="00526F8E"/>
    <w:rsid w:val="00536F2C"/>
    <w:rsid w:val="00595596"/>
    <w:rsid w:val="00612A03"/>
    <w:rsid w:val="007B71C4"/>
    <w:rsid w:val="007D50D9"/>
    <w:rsid w:val="0083709F"/>
    <w:rsid w:val="009F37C3"/>
    <w:rsid w:val="00B03BCC"/>
    <w:rsid w:val="00B368C9"/>
    <w:rsid w:val="00C805D0"/>
    <w:rsid w:val="00E81072"/>
    <w:rsid w:val="00EC77AA"/>
    <w:rsid w:val="00F615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5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596"/>
    <w:rPr>
      <w:lang w:val="en-US"/>
    </w:rPr>
  </w:style>
  <w:style w:type="paragraph" w:styleId="Footer">
    <w:name w:val="footer"/>
    <w:basedOn w:val="Normal"/>
    <w:link w:val="FooterChar"/>
    <w:uiPriority w:val="99"/>
    <w:unhideWhenUsed/>
    <w:rsid w:val="005955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596"/>
    <w:rPr>
      <w:lang w:val="en-US"/>
    </w:rPr>
  </w:style>
  <w:style w:type="paragraph" w:styleId="ListParagraph">
    <w:name w:val="List Paragraph"/>
    <w:basedOn w:val="Normal"/>
    <w:uiPriority w:val="34"/>
    <w:qFormat/>
    <w:rsid w:val="00595596"/>
    <w:pPr>
      <w:ind w:left="720"/>
      <w:contextualSpacing/>
    </w:pPr>
  </w:style>
  <w:style w:type="character" w:styleId="Hyperlink">
    <w:name w:val="Hyperlink"/>
    <w:basedOn w:val="DefaultParagraphFont"/>
    <w:uiPriority w:val="99"/>
    <w:unhideWhenUsed/>
    <w:rsid w:val="009F37C3"/>
    <w:rPr>
      <w:color w:val="0563C1" w:themeColor="hyperlink"/>
      <w:u w:val="single"/>
    </w:rPr>
  </w:style>
  <w:style w:type="character" w:customStyle="1" w:styleId="UnresolvedMention1">
    <w:name w:val="Unresolved Mention1"/>
    <w:basedOn w:val="DefaultParagraphFont"/>
    <w:uiPriority w:val="99"/>
    <w:semiHidden/>
    <w:unhideWhenUsed/>
    <w:rsid w:val="009F37C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698/mic2016.09.5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7F78B-1150-4554-A984-856B163C9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2020-09-08T09:28:00Z</dcterms:created>
  <dcterms:modified xsi:type="dcterms:W3CDTF">2020-09-08T09:28:00Z</dcterms:modified>
</cp:coreProperties>
</file>